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1053C" w14:textId="2D27E570" w:rsidR="00A65133" w:rsidRDefault="00A65133" w:rsidP="00A65133">
      <w:pPr>
        <w:ind w:left="5664" w:firstLine="6"/>
      </w:pPr>
      <w:r>
        <w:t>Aan college van gedeputeerde staten van de provincie &lt;…&gt;</w:t>
      </w:r>
    </w:p>
    <w:p w14:paraId="7D53CAAA" w14:textId="1292CC87" w:rsidR="00A65133" w:rsidRDefault="00A65133" w:rsidP="00A65133">
      <w:pPr>
        <w:ind w:left="5664" w:firstLine="6"/>
      </w:pPr>
    </w:p>
    <w:p w14:paraId="24BD18C2" w14:textId="056B896C" w:rsidR="00A65133" w:rsidRDefault="00A65133" w:rsidP="00A65133">
      <w:pPr>
        <w:ind w:left="5664" w:firstLine="6"/>
      </w:pPr>
    </w:p>
    <w:p w14:paraId="09839787" w14:textId="77777777" w:rsidR="00A65133" w:rsidRDefault="00A65133" w:rsidP="00A65133">
      <w:pPr>
        <w:ind w:left="5664" w:firstLine="6"/>
      </w:pPr>
    </w:p>
    <w:p w14:paraId="6412D6E8" w14:textId="7671D839" w:rsidR="00A65133" w:rsidRDefault="00A65133" w:rsidP="0055292E">
      <w:r>
        <w:t>Onderwerp: Advies Voorwaarden voor regionale innovatie</w:t>
      </w:r>
    </w:p>
    <w:p w14:paraId="31EA5F50" w14:textId="4C80CC60" w:rsidR="00A65133" w:rsidRDefault="00A65133" w:rsidP="0055292E">
      <w:r>
        <w:t>Bijlage: Adviesrapport</w:t>
      </w:r>
    </w:p>
    <w:p w14:paraId="3D0405E2" w14:textId="77777777" w:rsidR="00A65133" w:rsidRDefault="00A65133" w:rsidP="0055292E"/>
    <w:p w14:paraId="1733BF5D" w14:textId="77777777" w:rsidR="00A65133" w:rsidRDefault="00A65133" w:rsidP="00A65133">
      <w:r>
        <w:t>Groningen, 30 juli 2023.</w:t>
      </w:r>
    </w:p>
    <w:p w14:paraId="05885317" w14:textId="77777777" w:rsidR="00A65133" w:rsidRDefault="00A65133" w:rsidP="0055292E"/>
    <w:p w14:paraId="72252CC7" w14:textId="77777777" w:rsidR="00A65133" w:rsidRDefault="00A65133" w:rsidP="0055292E"/>
    <w:p w14:paraId="6510E3EF" w14:textId="794BF5E4" w:rsidR="00CA2629" w:rsidRDefault="00451002" w:rsidP="0055292E">
      <w:r>
        <w:t>Geacht college,</w:t>
      </w:r>
    </w:p>
    <w:p w14:paraId="14C715E9" w14:textId="34A049D6" w:rsidR="00451002" w:rsidRDefault="00451002" w:rsidP="0055292E"/>
    <w:p w14:paraId="043D6772" w14:textId="42B62594" w:rsidR="00451002" w:rsidRDefault="00451002" w:rsidP="0055292E"/>
    <w:p w14:paraId="1384C830" w14:textId="77777777" w:rsidR="0077593C" w:rsidRDefault="00451002" w:rsidP="00451002">
      <w:pPr>
        <w:rPr>
          <w:rFonts w:cs="Arial"/>
          <w:szCs w:val="20"/>
        </w:rPr>
      </w:pPr>
      <w:r>
        <w:rPr>
          <w:rFonts w:cs="Arial"/>
          <w:szCs w:val="20"/>
        </w:rPr>
        <w:t xml:space="preserve">In het advies 'Voorwaarden voor regionale innovatie in Noord-Nederland' gaan we in op de vraag wat er nodig is om de innovatiekracht van het Noorden te vergroten. </w:t>
      </w:r>
    </w:p>
    <w:p w14:paraId="76DA6DCF" w14:textId="77777777" w:rsidR="0077593C" w:rsidRDefault="0077593C" w:rsidP="00451002">
      <w:pPr>
        <w:rPr>
          <w:rFonts w:cs="Arial"/>
          <w:szCs w:val="20"/>
        </w:rPr>
      </w:pPr>
    </w:p>
    <w:p w14:paraId="0D77DBF3" w14:textId="7E2DCD3D" w:rsidR="0077593C" w:rsidRDefault="00451002" w:rsidP="00451002">
      <w:pPr>
        <w:rPr>
          <w:rFonts w:cs="Arial"/>
          <w:szCs w:val="20"/>
        </w:rPr>
      </w:pPr>
      <w:r>
        <w:rPr>
          <w:rFonts w:cs="Arial"/>
          <w:szCs w:val="20"/>
        </w:rPr>
        <w:t xml:space="preserve">Om die vraag te kunnen beantwoorden </w:t>
      </w:r>
      <w:r w:rsidR="0077593C">
        <w:rPr>
          <w:rFonts w:cs="Arial"/>
        </w:rPr>
        <w:t xml:space="preserve">hebben we met verschillende </w:t>
      </w:r>
      <w:proofErr w:type="spellStart"/>
      <w:r w:rsidR="0077593C">
        <w:rPr>
          <w:rFonts w:cs="Arial"/>
        </w:rPr>
        <w:t>CEO's</w:t>
      </w:r>
      <w:proofErr w:type="spellEnd"/>
      <w:r w:rsidR="0077593C">
        <w:rPr>
          <w:rFonts w:cs="Arial"/>
        </w:rPr>
        <w:t xml:space="preserve"> en deskundigen uit een aantal kansrijke investeringsrichtingen</w:t>
      </w:r>
      <w:r w:rsidR="0077593C">
        <w:rPr>
          <w:rStyle w:val="Voetnootmarkering"/>
          <w:rFonts w:cs="Arial"/>
        </w:rPr>
        <w:footnoteReference w:id="1"/>
      </w:r>
      <w:r w:rsidR="0077593C">
        <w:rPr>
          <w:rFonts w:cs="Arial"/>
        </w:rPr>
        <w:t xml:space="preserve"> gesproken, zowel individueel als in groepsverband.</w:t>
      </w:r>
      <w:r w:rsidR="0077593C" w:rsidRPr="00786D8D">
        <w:rPr>
          <w:rFonts w:cs="Arial"/>
        </w:rPr>
        <w:t xml:space="preserve"> </w:t>
      </w:r>
      <w:r w:rsidR="0077593C">
        <w:rPr>
          <w:rFonts w:cs="Arial"/>
        </w:rPr>
        <w:t>We zijn hen zeer erkentelijk voor hun bijdrage aan dit adviestraject. Uit deze gesprekken hebben we een goed beeld gekregen van de belangrijkste gesignaleerde belemmeringen voor regionale innovatie. Daarnaast zijn mogelijke oplossingsrichtingen verkend, die we in dit advies hebben uitgewerkt tot concrete aanbevelingen.</w:t>
      </w:r>
    </w:p>
    <w:p w14:paraId="54A2BC68" w14:textId="77777777" w:rsidR="00650E34" w:rsidRDefault="00650E34" w:rsidP="00650E34"/>
    <w:p w14:paraId="11675816" w14:textId="72C397C8" w:rsidR="00650E34" w:rsidRPr="00412979" w:rsidRDefault="00650E34" w:rsidP="00650E34">
      <w:r w:rsidRPr="00412979">
        <w:t>De beelden die uit de gesprekken naar voren kwamen zijn globaal als volgt samen te vatten:</w:t>
      </w:r>
    </w:p>
    <w:p w14:paraId="44AAEC74" w14:textId="2E204292" w:rsidR="00650E34" w:rsidRPr="004D14E0" w:rsidRDefault="00650E34" w:rsidP="00650E34">
      <w:pPr>
        <w:pStyle w:val="Lijstalinea"/>
        <w:numPr>
          <w:ilvl w:val="0"/>
          <w:numId w:val="1"/>
        </w:numPr>
      </w:pPr>
      <w:r w:rsidRPr="00412979">
        <w:t xml:space="preserve">Uiterst positieve insteek van de gesprekspartners. Men herkende de geschetste urgentie en de noodzaak dat er meer moet komen dan enkel de beschikbaarheid van geld in een aantal fondsen zoals EFRO </w:t>
      </w:r>
      <w:r w:rsidRPr="004D14E0">
        <w:t>en JTF.</w:t>
      </w:r>
    </w:p>
    <w:p w14:paraId="6C3DFB46" w14:textId="77777777" w:rsidR="00650E34" w:rsidRPr="00412979" w:rsidRDefault="00650E34" w:rsidP="00650E34">
      <w:pPr>
        <w:pStyle w:val="Lijstalinea"/>
        <w:numPr>
          <w:ilvl w:val="0"/>
          <w:numId w:val="1"/>
        </w:numPr>
      </w:pPr>
      <w:r w:rsidRPr="00412979">
        <w:t>Er zijn voor de ontwikkeling van ideeën naar programma's en projecten duidelijke aanjagers nodig, door bijvoorbeeld samenwerkingsstructuren te formaliseren en deze de middelen te verschaffen om goede ideeën te vertalen naar concrete initiatieven.</w:t>
      </w:r>
    </w:p>
    <w:p w14:paraId="20DDA42B" w14:textId="77777777" w:rsidR="00650E34" w:rsidRPr="00412979" w:rsidRDefault="00650E34" w:rsidP="00650E34">
      <w:pPr>
        <w:pStyle w:val="Lijstalinea"/>
        <w:numPr>
          <w:ilvl w:val="0"/>
          <w:numId w:val="1"/>
        </w:numPr>
      </w:pPr>
      <w:r w:rsidRPr="00412979">
        <w:t>Het is belangrijk dat de provincies mede-eigenaar worden van de voorgestelde aanpak.</w:t>
      </w:r>
    </w:p>
    <w:p w14:paraId="71EFC349" w14:textId="14671C3F" w:rsidR="00650E34" w:rsidRPr="00412979" w:rsidRDefault="00650E34" w:rsidP="00650E34">
      <w:pPr>
        <w:pStyle w:val="Lijstalinea"/>
        <w:numPr>
          <w:ilvl w:val="0"/>
          <w:numId w:val="1"/>
        </w:numPr>
      </w:pPr>
      <w:r w:rsidRPr="00412979">
        <w:t xml:space="preserve">Het geschetste organisatiemodel zoals beschreven in </w:t>
      </w:r>
      <w:r w:rsidR="005C2E3A">
        <w:t>ons</w:t>
      </w:r>
      <w:r w:rsidRPr="00412979">
        <w:t xml:space="preserve"> advies </w:t>
      </w:r>
      <w:r w:rsidRPr="00412979">
        <w:rPr>
          <w:rFonts w:cs="Arial"/>
          <w:szCs w:val="20"/>
        </w:rPr>
        <w:t>'</w:t>
      </w:r>
      <w:r w:rsidRPr="00412979">
        <w:rPr>
          <w:i/>
          <w:iCs/>
        </w:rPr>
        <w:t>Integrale Investeringsprogrammering Noord-Nederland'</w:t>
      </w:r>
      <w:r w:rsidR="005C2E3A">
        <w:rPr>
          <w:i/>
          <w:iCs/>
        </w:rPr>
        <w:t xml:space="preserve"> </w:t>
      </w:r>
      <w:r w:rsidR="005C2E3A">
        <w:t>van december 2021</w:t>
      </w:r>
      <w:r w:rsidRPr="00412979">
        <w:rPr>
          <w:i/>
          <w:iCs/>
        </w:rPr>
        <w:t xml:space="preserve"> </w:t>
      </w:r>
      <w:r w:rsidRPr="00412979">
        <w:t>wordt onderschreven en men wilde graag meewerken aan dit advies door onder meer goede voorbeelden van uitwerkingen aan te reiken die succesvol zijn.</w:t>
      </w:r>
    </w:p>
    <w:p w14:paraId="4D559A30" w14:textId="6808F927" w:rsidR="00650E34" w:rsidRDefault="00650E34" w:rsidP="00451002">
      <w:pPr>
        <w:rPr>
          <w:rFonts w:cs="Arial"/>
          <w:szCs w:val="20"/>
        </w:rPr>
      </w:pPr>
    </w:p>
    <w:p w14:paraId="3B4B4594" w14:textId="7623A98F" w:rsidR="00650E34" w:rsidRDefault="00650E34" w:rsidP="00451002">
      <w:pPr>
        <w:rPr>
          <w:rFonts w:cs="Arial"/>
          <w:szCs w:val="20"/>
        </w:rPr>
      </w:pPr>
      <w:r>
        <w:rPr>
          <w:rFonts w:cs="Arial"/>
          <w:szCs w:val="20"/>
        </w:rPr>
        <w:t xml:space="preserve">Aan het eind van deze brief geven we de aanbevelingen samengevat weer. Voor de volledige toelichting op deze aanbevelingen verwijzen we u naar het adviesrapport. Voordat we de aanbevelingen beschrijven, willen we in deze brief </w:t>
      </w:r>
      <w:r w:rsidR="00164804">
        <w:rPr>
          <w:rFonts w:cs="Arial"/>
          <w:szCs w:val="20"/>
        </w:rPr>
        <w:t xml:space="preserve">eerst </w:t>
      </w:r>
      <w:r w:rsidR="00297E9D">
        <w:rPr>
          <w:rFonts w:cs="Arial"/>
          <w:szCs w:val="20"/>
        </w:rPr>
        <w:t>paar</w:t>
      </w:r>
      <w:r>
        <w:rPr>
          <w:rFonts w:cs="Arial"/>
          <w:szCs w:val="20"/>
        </w:rPr>
        <w:t xml:space="preserve"> overweging</w:t>
      </w:r>
      <w:r w:rsidR="00297E9D">
        <w:rPr>
          <w:rFonts w:cs="Arial"/>
          <w:szCs w:val="20"/>
        </w:rPr>
        <w:t>en</w:t>
      </w:r>
      <w:r>
        <w:rPr>
          <w:rFonts w:cs="Arial"/>
          <w:szCs w:val="20"/>
        </w:rPr>
        <w:t xml:space="preserve"> expliciet bij u onder de aandacht brengen.</w:t>
      </w:r>
    </w:p>
    <w:p w14:paraId="32DCD015" w14:textId="5C278F2B" w:rsidR="00650E34" w:rsidRDefault="00650E34" w:rsidP="00451002">
      <w:pPr>
        <w:rPr>
          <w:rFonts w:cs="Arial"/>
          <w:szCs w:val="20"/>
        </w:rPr>
      </w:pPr>
    </w:p>
    <w:p w14:paraId="0AF56D67" w14:textId="081D0FBF" w:rsidR="00453359" w:rsidRPr="00BC349C" w:rsidRDefault="00297E9D" w:rsidP="00297E9D">
      <w:pPr>
        <w:rPr>
          <w:szCs w:val="20"/>
        </w:rPr>
      </w:pPr>
      <w:r w:rsidRPr="00BC349C">
        <w:rPr>
          <w:szCs w:val="20"/>
        </w:rPr>
        <w:t xml:space="preserve">Het mkb is over veel sectoren verspreid is en qua grootte verschillen de bedrijven enorm. Ook is het niveau van de innovatiekracht binnen het mkb erg verschillend. Een groot deel van het regionale mkb is volgend als het aankomt innovatie, zij doen niet zelf aan O&amp;O, maar zullen elders ontwikkelde product- of procesinnovaties wel in hun eigen bedrijfsvoering toepassen. Op bedrijfsniveau is dit dus innoverend en draagt het bij aan het versterken van het mkb. Het ondersteunen van het mkb om te komen tot zinvolle samenwerking is essentieel voor Noord-Nederland gezien het grote aantal mkb bedrijven. Het is daarom belangrijk dat bedrijven in het mkb, </w:t>
      </w:r>
      <w:r w:rsidR="00453359" w:rsidRPr="00BC349C">
        <w:rPr>
          <w:szCs w:val="20"/>
        </w:rPr>
        <w:t xml:space="preserve">die niet bezig zijn in de zogenaamde ontdekkingsfase (fundamenteel onderzoek, toegepast onderzoek en testen van ontwikkelde concepten) in de latere fase actief in de bestaande consortia te betrekken in de ontwikkel- en demonstratiefase. Hiermee wordt bereikt dat het bestaande mkb meer dan nu het geval is gestimuleerd wordt om te innoveren. Bij de uitwerking van de aanbevelingen zien wij dit </w:t>
      </w:r>
      <w:r w:rsidR="00100183" w:rsidRPr="00BC349C">
        <w:rPr>
          <w:szCs w:val="20"/>
        </w:rPr>
        <w:t>als</w:t>
      </w:r>
      <w:r w:rsidR="00453359" w:rsidRPr="00BC349C">
        <w:rPr>
          <w:szCs w:val="20"/>
        </w:rPr>
        <w:t xml:space="preserve"> een belangrijke voorwaarde.</w:t>
      </w:r>
    </w:p>
    <w:p w14:paraId="00A63EBA" w14:textId="77777777" w:rsidR="00297E9D" w:rsidRPr="00BC349C" w:rsidRDefault="00297E9D" w:rsidP="00451002">
      <w:pPr>
        <w:rPr>
          <w:rFonts w:cs="Arial"/>
          <w:szCs w:val="20"/>
        </w:rPr>
      </w:pPr>
    </w:p>
    <w:p w14:paraId="4A445FA4" w14:textId="71A234DE" w:rsidR="00650E34" w:rsidRPr="00BC349C" w:rsidRDefault="00650E34" w:rsidP="00451002">
      <w:pPr>
        <w:rPr>
          <w:rFonts w:cs="Arial"/>
          <w:szCs w:val="20"/>
        </w:rPr>
      </w:pPr>
      <w:r w:rsidRPr="00BC349C">
        <w:rPr>
          <w:rFonts w:cs="Arial"/>
          <w:szCs w:val="20"/>
        </w:rPr>
        <w:t xml:space="preserve">De aanbevelingen gaan grotendeels over de governance van het 'proces aan de voorkant', waarmee bedoeld wordt dat de projectontwikkeling een structurele plek in het innovatieproces </w:t>
      </w:r>
      <w:r w:rsidR="00A37AD2">
        <w:rPr>
          <w:rFonts w:cs="Arial"/>
          <w:szCs w:val="20"/>
        </w:rPr>
        <w:t>krijgt</w:t>
      </w:r>
      <w:r w:rsidRPr="00BC349C">
        <w:rPr>
          <w:rFonts w:cs="Arial"/>
          <w:szCs w:val="20"/>
        </w:rPr>
        <w:t xml:space="preserve"> en dit ook </w:t>
      </w:r>
      <w:r w:rsidR="00A37AD2">
        <w:rPr>
          <w:rFonts w:cs="Arial"/>
          <w:szCs w:val="20"/>
        </w:rPr>
        <w:lastRenderedPageBreak/>
        <w:t>actief wordt gesteund door de provincies</w:t>
      </w:r>
      <w:r w:rsidRPr="00BC349C">
        <w:rPr>
          <w:rFonts w:cs="Arial"/>
          <w:szCs w:val="20"/>
        </w:rPr>
        <w:t xml:space="preserve"> vanuit de regionale middelen</w:t>
      </w:r>
      <w:r w:rsidR="00A37AD2">
        <w:rPr>
          <w:rFonts w:cs="Arial"/>
          <w:szCs w:val="20"/>
        </w:rPr>
        <w:t>. D</w:t>
      </w:r>
      <w:r w:rsidRPr="00BC349C">
        <w:rPr>
          <w:rFonts w:cs="Arial"/>
          <w:szCs w:val="20"/>
        </w:rPr>
        <w:t xml:space="preserve">aarbij </w:t>
      </w:r>
      <w:r w:rsidR="00A37AD2">
        <w:rPr>
          <w:rFonts w:cs="Arial"/>
          <w:szCs w:val="20"/>
        </w:rPr>
        <w:t xml:space="preserve">zien wij </w:t>
      </w:r>
      <w:r w:rsidRPr="00BC349C">
        <w:rPr>
          <w:rFonts w:cs="Arial"/>
          <w:szCs w:val="20"/>
        </w:rPr>
        <w:t>een</w:t>
      </w:r>
      <w:r w:rsidR="00453359" w:rsidRPr="00BC349C">
        <w:rPr>
          <w:rFonts w:cs="Arial"/>
          <w:szCs w:val="20"/>
        </w:rPr>
        <w:t xml:space="preserve"> </w:t>
      </w:r>
      <w:r w:rsidR="00453359" w:rsidRPr="00BC349C">
        <w:rPr>
          <w:rFonts w:cs="Arial"/>
          <w:b/>
          <w:bCs/>
          <w:i/>
          <w:iCs/>
          <w:szCs w:val="20"/>
        </w:rPr>
        <w:t>expliciete</w:t>
      </w:r>
      <w:r w:rsidRPr="00BC349C">
        <w:rPr>
          <w:rFonts w:cs="Arial"/>
          <w:b/>
          <w:bCs/>
          <w:i/>
          <w:iCs/>
          <w:szCs w:val="20"/>
        </w:rPr>
        <w:t xml:space="preserve"> initiërende</w:t>
      </w:r>
      <w:r w:rsidRPr="00BC349C">
        <w:rPr>
          <w:rFonts w:cs="Arial"/>
          <w:szCs w:val="20"/>
        </w:rPr>
        <w:t xml:space="preserve"> rol van de provincies</w:t>
      </w:r>
      <w:r w:rsidR="00BC349C" w:rsidRPr="00BC349C">
        <w:rPr>
          <w:rFonts w:cs="Arial"/>
          <w:szCs w:val="20"/>
        </w:rPr>
        <w:t>.</w:t>
      </w:r>
    </w:p>
    <w:p w14:paraId="248FD8AF" w14:textId="3A00ECD2" w:rsidR="00650E34" w:rsidRPr="00BC349C" w:rsidRDefault="00650E34" w:rsidP="00451002">
      <w:pPr>
        <w:rPr>
          <w:rFonts w:cs="Arial"/>
          <w:szCs w:val="20"/>
        </w:rPr>
      </w:pPr>
    </w:p>
    <w:p w14:paraId="0B866639" w14:textId="3B507B3D" w:rsidR="00297E9D" w:rsidRPr="002835EA" w:rsidRDefault="00297E9D" w:rsidP="00297E9D">
      <w:r w:rsidRPr="002835EA">
        <w:t xml:space="preserve">Met de huidige </w:t>
      </w:r>
      <w:r w:rsidR="00BC349C" w:rsidRPr="002835EA">
        <w:t>manier van de inzet van de regionale middelen</w:t>
      </w:r>
      <w:r w:rsidRPr="002835EA">
        <w:t xml:space="preserve"> is te veel de situatie ontstaan van "geld zoekt projecten"</w:t>
      </w:r>
      <w:r w:rsidR="00BC349C" w:rsidRPr="002835EA">
        <w:t xml:space="preserve">. Met de door ons voorgestelde governance </w:t>
      </w:r>
      <w:r w:rsidR="002835EA" w:rsidRPr="002835EA">
        <w:t xml:space="preserve">kan dit worden doorbroken en komen we tot een situatie van "project zoekt geld". </w:t>
      </w:r>
      <w:r w:rsidRPr="002835EA">
        <w:t>Dit kan alleen als er een vroegtijdig inzicht en visie is – passend binnen de RIS3 - en de vertaling ervan naar concrete investeringsagenda’s en uiteindelijk projecten. Deze projecten kunnen dan gezamenlijk tractie creëren binnen een thema. Investeringsagenda’s die een horizon hebben van 5-7 jaar, die continu worden ge-update en nader worden geconcretiseerd en input vormen voor de programmeringsplaatjes die vanuit de fondsen worden ontwikkeld.</w:t>
      </w:r>
      <w:r w:rsidR="00EF75B7">
        <w:t xml:space="preserve"> Op deze manier kunnen we een situatie bereiken waarbij de verschillende geldstromen waarover Noord-Nederland beschikt elkaar niet beconcurreren, maar elkaar juist versterken. Versnippering van de inzet wordt zo voorkomen. </w:t>
      </w:r>
    </w:p>
    <w:p w14:paraId="03384550" w14:textId="20C7CD74" w:rsidR="00297E9D" w:rsidRPr="002835EA" w:rsidRDefault="00297E9D" w:rsidP="00451002">
      <w:pPr>
        <w:rPr>
          <w:rFonts w:cs="Arial"/>
          <w:szCs w:val="20"/>
        </w:rPr>
      </w:pPr>
    </w:p>
    <w:p w14:paraId="2C21A83F" w14:textId="72595437" w:rsidR="00297E9D" w:rsidRPr="003869C2" w:rsidRDefault="003869C2" w:rsidP="00451002">
      <w:pPr>
        <w:rPr>
          <w:rFonts w:cs="Arial"/>
          <w:szCs w:val="20"/>
        </w:rPr>
      </w:pPr>
      <w:r w:rsidRPr="003869C2">
        <w:rPr>
          <w:rFonts w:cs="Arial"/>
          <w:szCs w:val="20"/>
        </w:rPr>
        <w:t xml:space="preserve">In al onze gesprekken in dit adviestraject kwam de arbeidsmarktkrapte als misschien wel </w:t>
      </w:r>
      <w:r>
        <w:rPr>
          <w:rFonts w:cs="Arial"/>
          <w:szCs w:val="20"/>
        </w:rPr>
        <w:t xml:space="preserve">de </w:t>
      </w:r>
      <w:r w:rsidRPr="003869C2">
        <w:rPr>
          <w:rFonts w:cs="Arial"/>
          <w:szCs w:val="20"/>
        </w:rPr>
        <w:t>belangrijks</w:t>
      </w:r>
      <w:r>
        <w:rPr>
          <w:rFonts w:cs="Arial"/>
          <w:szCs w:val="20"/>
        </w:rPr>
        <w:t>te</w:t>
      </w:r>
      <w:r w:rsidRPr="003869C2">
        <w:rPr>
          <w:rFonts w:cs="Arial"/>
          <w:szCs w:val="20"/>
        </w:rPr>
        <w:t xml:space="preserve"> belemmering voor het versterken van innovaties naar voren. </w:t>
      </w:r>
      <w:r>
        <w:rPr>
          <w:rFonts w:cs="Arial"/>
          <w:szCs w:val="20"/>
        </w:rPr>
        <w:t>Over de oplossingsrichtingen voor de arbeidsmarktkrapte hebben we in juni 2022 al een advies uitgebracht</w:t>
      </w:r>
      <w:r>
        <w:rPr>
          <w:rStyle w:val="Voetnootmarkering"/>
          <w:rFonts w:cs="Arial"/>
          <w:szCs w:val="20"/>
        </w:rPr>
        <w:footnoteReference w:id="2"/>
      </w:r>
      <w:r>
        <w:rPr>
          <w:rFonts w:cs="Arial"/>
          <w:szCs w:val="20"/>
        </w:rPr>
        <w:t>; de aanbevelingen uit dit advies hebben we daarom in het advies over voorwaarden voor regionale innovatie achterwege gelaten.</w:t>
      </w:r>
    </w:p>
    <w:p w14:paraId="15DE1BD6" w14:textId="23DD2E94" w:rsidR="00297E9D" w:rsidRDefault="00297E9D" w:rsidP="00451002">
      <w:pPr>
        <w:rPr>
          <w:rFonts w:cs="Arial"/>
          <w:szCs w:val="20"/>
        </w:rPr>
      </w:pPr>
    </w:p>
    <w:p w14:paraId="7750AA1F" w14:textId="550EA6B4" w:rsidR="002307E7" w:rsidRDefault="00A04E7E" w:rsidP="00451002">
      <w:pPr>
        <w:rPr>
          <w:rFonts w:cs="Arial"/>
          <w:szCs w:val="20"/>
        </w:rPr>
      </w:pPr>
      <w:r>
        <w:rPr>
          <w:rFonts w:cs="Arial"/>
          <w:szCs w:val="20"/>
        </w:rPr>
        <w:t>Voor het vervolg van dit advies is het nuttig dat de in dit advies genoemde consortia/partijen in gesprek gaan met vertegenwoordigers van provincies, NPG, SNN en NOM om de voorgestelde aanbevelingen verder te concretiseren. Wij zijn graag bereid om de organisatie van de gesprekken op ons te nemen. Daarna is het aan de verschillende gesprekspartners om dit gezamenlijk uit te werken.</w:t>
      </w:r>
    </w:p>
    <w:p w14:paraId="2E1E22A8" w14:textId="552443A6" w:rsidR="00A04E7E" w:rsidRDefault="00A04E7E" w:rsidP="00451002">
      <w:pPr>
        <w:rPr>
          <w:rFonts w:cs="Arial"/>
          <w:szCs w:val="20"/>
        </w:rPr>
      </w:pPr>
    </w:p>
    <w:p w14:paraId="7094D351" w14:textId="15B60F72" w:rsidR="00221EEC" w:rsidRDefault="00221EEC" w:rsidP="00451002">
      <w:pPr>
        <w:rPr>
          <w:rFonts w:cs="Arial"/>
          <w:szCs w:val="20"/>
        </w:rPr>
      </w:pPr>
      <w:r>
        <w:rPr>
          <w:rFonts w:cs="Arial"/>
          <w:szCs w:val="20"/>
        </w:rPr>
        <w:t>Op 10 juli jl. hebben wij dit advies aangeboden aan mevr. Kl</w:t>
      </w:r>
      <w:r w:rsidR="007D42E7">
        <w:rPr>
          <w:rFonts w:cs="Arial"/>
          <w:szCs w:val="20"/>
        </w:rPr>
        <w:t>ij</w:t>
      </w:r>
      <w:r>
        <w:rPr>
          <w:rFonts w:cs="Arial"/>
          <w:szCs w:val="20"/>
        </w:rPr>
        <w:t>nsma, voorzitter van het Samenwerkingsverband Noord-Nederland.</w:t>
      </w:r>
    </w:p>
    <w:p w14:paraId="5F197FD2" w14:textId="77777777" w:rsidR="00221EEC" w:rsidRDefault="00221EEC" w:rsidP="00451002">
      <w:pPr>
        <w:rPr>
          <w:rFonts w:cs="Arial"/>
          <w:szCs w:val="20"/>
        </w:rPr>
      </w:pPr>
    </w:p>
    <w:p w14:paraId="6B440F1E" w14:textId="187BC3F6" w:rsidR="00A04E7E" w:rsidRDefault="00A04E7E" w:rsidP="00451002">
      <w:pPr>
        <w:rPr>
          <w:rFonts w:cs="Arial"/>
          <w:szCs w:val="20"/>
        </w:rPr>
      </w:pPr>
      <w:r>
        <w:rPr>
          <w:rFonts w:cs="Arial"/>
          <w:szCs w:val="20"/>
        </w:rPr>
        <w:t>Hoogachtend,</w:t>
      </w:r>
    </w:p>
    <w:p w14:paraId="27ED976D" w14:textId="60D6EAF7" w:rsidR="00A04E7E" w:rsidRDefault="00A04E7E" w:rsidP="00451002">
      <w:pPr>
        <w:rPr>
          <w:rFonts w:cs="Arial"/>
          <w:szCs w:val="20"/>
        </w:rPr>
      </w:pPr>
    </w:p>
    <w:p w14:paraId="3000F2AD" w14:textId="2F6AB4BC" w:rsidR="00A04E7E" w:rsidRDefault="00A04E7E" w:rsidP="00451002">
      <w:pPr>
        <w:rPr>
          <w:rFonts w:cs="Arial"/>
          <w:szCs w:val="20"/>
        </w:rPr>
      </w:pPr>
    </w:p>
    <w:p w14:paraId="2BA45AA1" w14:textId="5B358D28" w:rsidR="00A04E7E" w:rsidRDefault="00A04E7E" w:rsidP="00451002">
      <w:pPr>
        <w:rPr>
          <w:rFonts w:cs="Arial"/>
          <w:szCs w:val="20"/>
        </w:rPr>
      </w:pPr>
    </w:p>
    <w:p w14:paraId="307519FD" w14:textId="70D0981A" w:rsidR="00A04E7E" w:rsidRDefault="00A04E7E" w:rsidP="00451002">
      <w:pPr>
        <w:rPr>
          <w:rFonts w:cs="Arial"/>
          <w:szCs w:val="20"/>
        </w:rPr>
      </w:pPr>
      <w:r>
        <w:rPr>
          <w:rFonts w:cs="Arial"/>
          <w:szCs w:val="20"/>
        </w:rPr>
        <w:t>Prof. dr. Jouke van Dijk, voorzitter.</w:t>
      </w:r>
    </w:p>
    <w:p w14:paraId="1E564F27" w14:textId="702752B9" w:rsidR="002307E7" w:rsidRDefault="002307E7" w:rsidP="00451002">
      <w:pPr>
        <w:rPr>
          <w:rFonts w:cs="Arial"/>
          <w:szCs w:val="20"/>
        </w:rPr>
      </w:pPr>
    </w:p>
    <w:p w14:paraId="2F9D6EF5" w14:textId="59E83B99" w:rsidR="00A65133" w:rsidRDefault="00A65133">
      <w:pPr>
        <w:spacing w:after="160" w:line="259" w:lineRule="auto"/>
        <w:rPr>
          <w:rFonts w:cs="Arial"/>
          <w:szCs w:val="20"/>
        </w:rPr>
      </w:pPr>
      <w:r>
        <w:rPr>
          <w:rFonts w:cs="Arial"/>
          <w:szCs w:val="20"/>
        </w:rPr>
        <w:br w:type="page"/>
      </w:r>
    </w:p>
    <w:p w14:paraId="3D4336CC" w14:textId="7BD63A20" w:rsidR="002307E7" w:rsidRDefault="00A65133" w:rsidP="00451002">
      <w:pPr>
        <w:rPr>
          <w:rFonts w:cs="Arial"/>
          <w:b/>
          <w:bCs/>
          <w:szCs w:val="20"/>
        </w:rPr>
      </w:pPr>
      <w:r w:rsidRPr="00A65133">
        <w:rPr>
          <w:rFonts w:cs="Arial"/>
          <w:b/>
          <w:bCs/>
          <w:szCs w:val="20"/>
        </w:rPr>
        <w:lastRenderedPageBreak/>
        <w:t>Aanbevelingen uit advies Voorwaarden voor regionale innovatie</w:t>
      </w:r>
    </w:p>
    <w:p w14:paraId="6480D85B" w14:textId="77777777" w:rsidR="00A65133" w:rsidRDefault="00A65133" w:rsidP="00451002">
      <w:pPr>
        <w:rPr>
          <w:rFonts w:cs="Arial"/>
          <w:b/>
          <w:bCs/>
          <w:szCs w:val="20"/>
        </w:rPr>
      </w:pPr>
    </w:p>
    <w:p w14:paraId="6827F50A" w14:textId="77777777" w:rsidR="00EA670F" w:rsidRPr="00EA670F" w:rsidRDefault="00EA670F" w:rsidP="00EA670F">
      <w:pPr>
        <w:rPr>
          <w:szCs w:val="20"/>
        </w:rPr>
      </w:pPr>
    </w:p>
    <w:tbl>
      <w:tblPr>
        <w:tblStyle w:val="Tabelraster"/>
        <w:tblW w:w="0" w:type="auto"/>
        <w:tblLook w:val="04A0" w:firstRow="1" w:lastRow="0" w:firstColumn="1" w:lastColumn="0" w:noHBand="0" w:noVBand="1"/>
      </w:tblPr>
      <w:tblGrid>
        <w:gridCol w:w="439"/>
        <w:gridCol w:w="8623"/>
      </w:tblGrid>
      <w:tr w:rsidR="00EA670F" w:rsidRPr="00EA670F" w14:paraId="2366DEA6" w14:textId="77777777" w:rsidTr="003C72B6">
        <w:tc>
          <w:tcPr>
            <w:tcW w:w="9062" w:type="dxa"/>
            <w:gridSpan w:val="2"/>
          </w:tcPr>
          <w:p w14:paraId="5FF05E84" w14:textId="77777777" w:rsidR="00EA670F" w:rsidRPr="00EA670F" w:rsidRDefault="00EA670F" w:rsidP="00EA670F">
            <w:pPr>
              <w:rPr>
                <w:b/>
                <w:bCs/>
              </w:rPr>
            </w:pPr>
            <w:r w:rsidRPr="00EA670F">
              <w:rPr>
                <w:b/>
                <w:bCs/>
              </w:rPr>
              <w:t>Aanbevelingen</w:t>
            </w:r>
          </w:p>
        </w:tc>
      </w:tr>
      <w:tr w:rsidR="00EA670F" w:rsidRPr="00EA670F" w14:paraId="71824868" w14:textId="77777777" w:rsidTr="003C72B6">
        <w:tc>
          <w:tcPr>
            <w:tcW w:w="421" w:type="dxa"/>
          </w:tcPr>
          <w:p w14:paraId="3C7840F9" w14:textId="77777777" w:rsidR="00EA670F" w:rsidRPr="00EA670F" w:rsidRDefault="00EA670F" w:rsidP="00EA670F">
            <w:pPr>
              <w:rPr>
                <w:b/>
                <w:bCs/>
                <w:szCs w:val="20"/>
              </w:rPr>
            </w:pPr>
            <w:r w:rsidRPr="00EA670F">
              <w:rPr>
                <w:b/>
                <w:bCs/>
                <w:szCs w:val="20"/>
              </w:rPr>
              <w:t xml:space="preserve"> 1</w:t>
            </w:r>
          </w:p>
        </w:tc>
        <w:tc>
          <w:tcPr>
            <w:tcW w:w="8641" w:type="dxa"/>
          </w:tcPr>
          <w:p w14:paraId="6C6172E9" w14:textId="77777777" w:rsidR="00EA670F" w:rsidRPr="00EA670F" w:rsidRDefault="00EA670F" w:rsidP="00EA670F">
            <w:pPr>
              <w:rPr>
                <w:b/>
                <w:bCs/>
              </w:rPr>
            </w:pPr>
            <w:r w:rsidRPr="00EA670F">
              <w:rPr>
                <w:b/>
                <w:bCs/>
              </w:rPr>
              <w:t>De provincie pakt de rol van opdrachtgever/initiatiefnemer voor innovatieontwikkeling voor een aantal grote thema’s op.</w:t>
            </w:r>
          </w:p>
        </w:tc>
      </w:tr>
      <w:tr w:rsidR="00EA670F" w:rsidRPr="00EA670F" w14:paraId="45AAB3F1" w14:textId="77777777" w:rsidTr="003C72B6">
        <w:tc>
          <w:tcPr>
            <w:tcW w:w="421" w:type="dxa"/>
          </w:tcPr>
          <w:p w14:paraId="2E20B00C" w14:textId="77777777" w:rsidR="00EA670F" w:rsidRPr="00EA670F" w:rsidRDefault="00EA670F" w:rsidP="00EA670F">
            <w:pPr>
              <w:rPr>
                <w:b/>
                <w:bCs/>
                <w:szCs w:val="20"/>
              </w:rPr>
            </w:pPr>
            <w:r w:rsidRPr="00EA670F">
              <w:rPr>
                <w:b/>
                <w:bCs/>
                <w:szCs w:val="20"/>
              </w:rPr>
              <w:t xml:space="preserve"> 2</w:t>
            </w:r>
          </w:p>
        </w:tc>
        <w:tc>
          <w:tcPr>
            <w:tcW w:w="8641" w:type="dxa"/>
          </w:tcPr>
          <w:p w14:paraId="370E9659" w14:textId="77777777" w:rsidR="00EA670F" w:rsidRPr="00EA670F" w:rsidRDefault="00EA670F" w:rsidP="00EA670F">
            <w:pPr>
              <w:rPr>
                <w:b/>
                <w:bCs/>
              </w:rPr>
            </w:pPr>
            <w:r w:rsidRPr="00EA670F">
              <w:rPr>
                <w:b/>
                <w:bCs/>
              </w:rPr>
              <w:t>Consortia passend binnen transitiepaden van RIS3 formaliseren hun ontwikkelingsrol en leggen eigen inbreng en risicoverdeling bindend vast (bijvoorbeeld in een stichting of contracten).</w:t>
            </w:r>
          </w:p>
        </w:tc>
      </w:tr>
      <w:tr w:rsidR="00EA670F" w:rsidRPr="00EA670F" w14:paraId="26CD2213" w14:textId="77777777" w:rsidTr="003C72B6">
        <w:tc>
          <w:tcPr>
            <w:tcW w:w="421" w:type="dxa"/>
          </w:tcPr>
          <w:p w14:paraId="40C5F5B3" w14:textId="77777777" w:rsidR="00EA670F" w:rsidRPr="00EA670F" w:rsidRDefault="00EA670F" w:rsidP="00EA670F">
            <w:pPr>
              <w:rPr>
                <w:b/>
                <w:bCs/>
                <w:szCs w:val="20"/>
              </w:rPr>
            </w:pPr>
            <w:r w:rsidRPr="00EA670F">
              <w:rPr>
                <w:b/>
                <w:bCs/>
                <w:szCs w:val="20"/>
              </w:rPr>
              <w:t xml:space="preserve"> 3</w:t>
            </w:r>
          </w:p>
        </w:tc>
        <w:tc>
          <w:tcPr>
            <w:tcW w:w="8641" w:type="dxa"/>
          </w:tcPr>
          <w:p w14:paraId="056FA301" w14:textId="77777777" w:rsidR="00EA670F" w:rsidRPr="00EA670F" w:rsidRDefault="00EA670F" w:rsidP="00EA670F">
            <w:pPr>
              <w:rPr>
                <w:b/>
                <w:bCs/>
              </w:rPr>
            </w:pPr>
            <w:r w:rsidRPr="00EA670F">
              <w:rPr>
                <w:b/>
                <w:bCs/>
              </w:rPr>
              <w:t xml:space="preserve">Consortia kunnen op basis van een concreet plan/projectidee voorstellen indienen voor ondersteuning van projectontwikkeling voor langere periode, waarbij een goede betrokkenheid van het regionale mkb is gegarandeerd. Het betreft bij voorkeur grotere meer zichtbare projecten op internationaal herkenbare thema's. </w:t>
            </w:r>
          </w:p>
        </w:tc>
      </w:tr>
      <w:tr w:rsidR="00EA670F" w:rsidRPr="00EA670F" w14:paraId="391B9670" w14:textId="77777777" w:rsidTr="003C72B6">
        <w:tc>
          <w:tcPr>
            <w:tcW w:w="421" w:type="dxa"/>
          </w:tcPr>
          <w:p w14:paraId="26A0FC09" w14:textId="77777777" w:rsidR="00EA670F" w:rsidRPr="00EA670F" w:rsidRDefault="00EA670F" w:rsidP="00EA670F">
            <w:pPr>
              <w:rPr>
                <w:b/>
                <w:bCs/>
                <w:szCs w:val="20"/>
              </w:rPr>
            </w:pPr>
            <w:r w:rsidRPr="00EA670F">
              <w:rPr>
                <w:b/>
                <w:bCs/>
                <w:szCs w:val="20"/>
              </w:rPr>
              <w:t xml:space="preserve"> 4</w:t>
            </w:r>
          </w:p>
        </w:tc>
        <w:tc>
          <w:tcPr>
            <w:tcW w:w="8641" w:type="dxa"/>
          </w:tcPr>
          <w:p w14:paraId="08F1A38A" w14:textId="77777777" w:rsidR="00EA670F" w:rsidRPr="00EA670F" w:rsidRDefault="00EA670F" w:rsidP="00EA670F">
            <w:pPr>
              <w:rPr>
                <w:b/>
                <w:bCs/>
              </w:rPr>
            </w:pPr>
            <w:r w:rsidRPr="00EA670F">
              <w:rPr>
                <w:b/>
                <w:bCs/>
              </w:rPr>
              <w:t>Zet een deel van de bestaande middelen in om een gecombineerd financierings</w:t>
            </w:r>
            <w:r w:rsidRPr="00EA670F">
              <w:rPr>
                <w:b/>
                <w:bCs/>
              </w:rPr>
              <w:softHyphen/>
              <w:t>instrument op te zetten gericht op bredere stimulering van de hele innovatieketen met betrokkenheid van het mkb, ook voor mkb-bedrijven die niet op de hoogste trede van de TRL-ladder staan.</w:t>
            </w:r>
          </w:p>
        </w:tc>
      </w:tr>
      <w:tr w:rsidR="00EA670F" w:rsidRPr="00EA670F" w14:paraId="3BE000C4" w14:textId="77777777" w:rsidTr="003C72B6">
        <w:tc>
          <w:tcPr>
            <w:tcW w:w="421" w:type="dxa"/>
          </w:tcPr>
          <w:p w14:paraId="72670E17" w14:textId="77777777" w:rsidR="00EA670F" w:rsidRPr="00EA670F" w:rsidRDefault="00EA670F" w:rsidP="00EA670F">
            <w:pPr>
              <w:rPr>
                <w:b/>
                <w:bCs/>
                <w:szCs w:val="20"/>
              </w:rPr>
            </w:pPr>
            <w:r w:rsidRPr="00EA670F">
              <w:rPr>
                <w:b/>
                <w:bCs/>
                <w:szCs w:val="20"/>
              </w:rPr>
              <w:t>5</w:t>
            </w:r>
          </w:p>
        </w:tc>
        <w:tc>
          <w:tcPr>
            <w:tcW w:w="8641" w:type="dxa"/>
          </w:tcPr>
          <w:p w14:paraId="76948C87" w14:textId="77777777" w:rsidR="00EA670F" w:rsidRPr="00EA670F" w:rsidRDefault="00EA670F" w:rsidP="00EA670F">
            <w:pPr>
              <w:rPr>
                <w:szCs w:val="20"/>
              </w:rPr>
            </w:pPr>
            <w:r w:rsidRPr="00EA670F">
              <w:rPr>
                <w:b/>
                <w:bCs/>
              </w:rPr>
              <w:t>De NOM wordt meer in positie gebracht om invulling te geven aan de ontwikkelcapaciteit gericht op het bestaande (innovatieve) mkb uit de regio.</w:t>
            </w:r>
          </w:p>
        </w:tc>
      </w:tr>
      <w:tr w:rsidR="00EA670F" w:rsidRPr="004D14E0" w14:paraId="1D4036F8" w14:textId="77777777" w:rsidTr="00EA670F">
        <w:tc>
          <w:tcPr>
            <w:tcW w:w="421" w:type="dxa"/>
          </w:tcPr>
          <w:p w14:paraId="6B959962" w14:textId="77777777" w:rsidR="00EA670F" w:rsidRPr="004D14E0" w:rsidRDefault="00EA670F" w:rsidP="003C72B6">
            <w:pPr>
              <w:rPr>
                <w:b/>
                <w:bCs/>
                <w:szCs w:val="20"/>
              </w:rPr>
            </w:pPr>
            <w:r w:rsidRPr="004D14E0">
              <w:rPr>
                <w:b/>
                <w:bCs/>
                <w:szCs w:val="20"/>
              </w:rPr>
              <w:t>6</w:t>
            </w:r>
          </w:p>
        </w:tc>
        <w:tc>
          <w:tcPr>
            <w:tcW w:w="8641" w:type="dxa"/>
          </w:tcPr>
          <w:p w14:paraId="652A27A8" w14:textId="77777777" w:rsidR="00EA670F" w:rsidRPr="004D14E0" w:rsidRDefault="00EA670F" w:rsidP="003C72B6">
            <w:pPr>
              <w:rPr>
                <w:b/>
                <w:bCs/>
                <w:szCs w:val="20"/>
              </w:rPr>
            </w:pPr>
            <w:r w:rsidRPr="004D14E0">
              <w:rPr>
                <w:b/>
                <w:bCs/>
                <w:szCs w:val="20"/>
              </w:rPr>
              <w:t xml:space="preserve">Verbreed de </w:t>
            </w:r>
            <w:proofErr w:type="spellStart"/>
            <w:r w:rsidRPr="004D14E0">
              <w:rPr>
                <w:b/>
                <w:bCs/>
                <w:szCs w:val="20"/>
              </w:rPr>
              <w:t>preproposal-toetsmogelijkheid</w:t>
            </w:r>
            <w:proofErr w:type="spellEnd"/>
            <w:r w:rsidRPr="004D14E0">
              <w:rPr>
                <w:b/>
                <w:bCs/>
                <w:szCs w:val="20"/>
              </w:rPr>
              <w:t xml:space="preserve"> van het EFRO naar JTF, NPG en provinciale fondsen.</w:t>
            </w:r>
          </w:p>
        </w:tc>
      </w:tr>
      <w:tr w:rsidR="00EA670F" w:rsidRPr="004D14E0" w14:paraId="7E76BABE" w14:textId="77777777" w:rsidTr="00EA670F">
        <w:tc>
          <w:tcPr>
            <w:tcW w:w="421" w:type="dxa"/>
          </w:tcPr>
          <w:p w14:paraId="438980E4" w14:textId="77777777" w:rsidR="00EA670F" w:rsidRPr="004D14E0" w:rsidRDefault="00EA670F" w:rsidP="003C72B6">
            <w:pPr>
              <w:rPr>
                <w:b/>
                <w:bCs/>
                <w:szCs w:val="20"/>
              </w:rPr>
            </w:pPr>
            <w:r w:rsidRPr="004D14E0">
              <w:rPr>
                <w:b/>
                <w:bCs/>
                <w:szCs w:val="20"/>
              </w:rPr>
              <w:t xml:space="preserve"> 7</w:t>
            </w:r>
          </w:p>
        </w:tc>
        <w:tc>
          <w:tcPr>
            <w:tcW w:w="8641" w:type="dxa"/>
          </w:tcPr>
          <w:p w14:paraId="0D227888" w14:textId="77777777" w:rsidR="00EA670F" w:rsidRPr="004D14E0" w:rsidRDefault="00EA670F" w:rsidP="003C72B6">
            <w:pPr>
              <w:rPr>
                <w:szCs w:val="20"/>
              </w:rPr>
            </w:pPr>
            <w:r w:rsidRPr="004D14E0">
              <w:rPr>
                <w:b/>
                <w:bCs/>
                <w:szCs w:val="20"/>
              </w:rPr>
              <w:t xml:space="preserve">Subsidieer de ontwikkelkosten van de uitwerking van kansrijke </w:t>
            </w:r>
            <w:proofErr w:type="spellStart"/>
            <w:r w:rsidRPr="004D14E0">
              <w:rPr>
                <w:b/>
                <w:bCs/>
                <w:szCs w:val="20"/>
              </w:rPr>
              <w:t>preproposals</w:t>
            </w:r>
            <w:proofErr w:type="spellEnd"/>
            <w:r w:rsidRPr="004D14E0">
              <w:rPr>
                <w:b/>
                <w:bCs/>
                <w:szCs w:val="20"/>
              </w:rPr>
              <w:t xml:space="preserve"> tot concrete projecten met 50% met als voorwaarde dat het regionale mkb wordt betrokken.</w:t>
            </w:r>
          </w:p>
        </w:tc>
      </w:tr>
      <w:tr w:rsidR="00EA670F" w:rsidRPr="004D14E0" w14:paraId="7DFE0165" w14:textId="77777777" w:rsidTr="00EA670F">
        <w:tc>
          <w:tcPr>
            <w:tcW w:w="421" w:type="dxa"/>
          </w:tcPr>
          <w:p w14:paraId="2BE6F3DA" w14:textId="77777777" w:rsidR="00EA670F" w:rsidRPr="004D14E0" w:rsidRDefault="00EA670F" w:rsidP="003C72B6">
            <w:pPr>
              <w:rPr>
                <w:b/>
                <w:bCs/>
                <w:szCs w:val="20"/>
              </w:rPr>
            </w:pPr>
            <w:r w:rsidRPr="004D14E0">
              <w:rPr>
                <w:b/>
                <w:bCs/>
                <w:szCs w:val="20"/>
              </w:rPr>
              <w:t xml:space="preserve"> 8</w:t>
            </w:r>
          </w:p>
        </w:tc>
        <w:tc>
          <w:tcPr>
            <w:tcW w:w="8641" w:type="dxa"/>
          </w:tcPr>
          <w:p w14:paraId="5625AA2A" w14:textId="77777777" w:rsidR="00EA670F" w:rsidRPr="004D14E0" w:rsidRDefault="00EA670F" w:rsidP="003C72B6">
            <w:pPr>
              <w:rPr>
                <w:b/>
                <w:bCs/>
                <w:szCs w:val="20"/>
              </w:rPr>
            </w:pPr>
            <w:r w:rsidRPr="004D14E0">
              <w:rPr>
                <w:b/>
                <w:bCs/>
                <w:szCs w:val="20"/>
              </w:rPr>
              <w:t>Zet in op extra uitvoeringscapaciteit bij provincies/SNN/NPG voor inhoudelijke ondersteuning bij projectontwikkeling.</w:t>
            </w:r>
          </w:p>
        </w:tc>
      </w:tr>
      <w:tr w:rsidR="00EA670F" w:rsidRPr="00044951" w14:paraId="53EE1E21" w14:textId="77777777" w:rsidTr="00EA670F">
        <w:tc>
          <w:tcPr>
            <w:tcW w:w="421" w:type="dxa"/>
          </w:tcPr>
          <w:p w14:paraId="14886E5D" w14:textId="77777777" w:rsidR="00EA670F" w:rsidRPr="00044951" w:rsidRDefault="00EA670F" w:rsidP="003C72B6">
            <w:pPr>
              <w:rPr>
                <w:b/>
                <w:bCs/>
                <w:szCs w:val="20"/>
              </w:rPr>
            </w:pPr>
            <w:r w:rsidRPr="00044951">
              <w:rPr>
                <w:b/>
                <w:bCs/>
                <w:szCs w:val="20"/>
              </w:rPr>
              <w:t xml:space="preserve"> </w:t>
            </w:r>
            <w:r>
              <w:rPr>
                <w:b/>
                <w:bCs/>
                <w:szCs w:val="20"/>
              </w:rPr>
              <w:t>9</w:t>
            </w:r>
          </w:p>
        </w:tc>
        <w:tc>
          <w:tcPr>
            <w:tcW w:w="8641" w:type="dxa"/>
          </w:tcPr>
          <w:p w14:paraId="50FEA433" w14:textId="77777777" w:rsidR="00EA670F" w:rsidRPr="00044951" w:rsidRDefault="00EA670F" w:rsidP="003C72B6">
            <w:pPr>
              <w:rPr>
                <w:b/>
                <w:bCs/>
              </w:rPr>
            </w:pPr>
            <w:r w:rsidRPr="00044951">
              <w:rPr>
                <w:b/>
                <w:bCs/>
              </w:rPr>
              <w:t xml:space="preserve">De deskundigencommissie EFRO/JTF beoordeelt het plan/idee op </w:t>
            </w:r>
            <w:proofErr w:type="spellStart"/>
            <w:r w:rsidRPr="00044951">
              <w:rPr>
                <w:b/>
                <w:bCs/>
              </w:rPr>
              <w:t>kansrijkheid</w:t>
            </w:r>
            <w:proofErr w:type="spellEnd"/>
            <w:r w:rsidRPr="00044951">
              <w:rPr>
                <w:b/>
                <w:bCs/>
              </w:rPr>
              <w:t>, waarna besluitvorming over ondersteuning volgt.</w:t>
            </w:r>
          </w:p>
        </w:tc>
      </w:tr>
      <w:tr w:rsidR="00EA670F" w14:paraId="60D2F0F9" w14:textId="77777777" w:rsidTr="00EA670F">
        <w:tc>
          <w:tcPr>
            <w:tcW w:w="421" w:type="dxa"/>
          </w:tcPr>
          <w:p w14:paraId="7E1C9058" w14:textId="77777777" w:rsidR="00EA670F" w:rsidRPr="00044951" w:rsidRDefault="00EA670F" w:rsidP="003C72B6">
            <w:pPr>
              <w:rPr>
                <w:b/>
                <w:bCs/>
              </w:rPr>
            </w:pPr>
            <w:r>
              <w:rPr>
                <w:b/>
                <w:bCs/>
              </w:rPr>
              <w:t>10</w:t>
            </w:r>
          </w:p>
        </w:tc>
        <w:tc>
          <w:tcPr>
            <w:tcW w:w="8641" w:type="dxa"/>
          </w:tcPr>
          <w:p w14:paraId="28DA7BFA" w14:textId="77777777" w:rsidR="00EA670F" w:rsidRDefault="00EA670F" w:rsidP="003C72B6">
            <w:r w:rsidRPr="005B2684">
              <w:rPr>
                <w:b/>
                <w:bCs/>
              </w:rPr>
              <w:t xml:space="preserve">Provincies investeren in menskracht en deskundigheid op het gebied van vergunningverlening en voeren </w:t>
            </w:r>
            <w:r>
              <w:rPr>
                <w:b/>
                <w:bCs/>
              </w:rPr>
              <w:t xml:space="preserve">in samenwerking met de omgevingsdiensten </w:t>
            </w:r>
            <w:r w:rsidRPr="005B2684">
              <w:rPr>
                <w:b/>
                <w:bCs/>
              </w:rPr>
              <w:t>projectmatig werken voor vergunningsprocedures</w:t>
            </w:r>
            <w:r>
              <w:rPr>
                <w:b/>
                <w:bCs/>
              </w:rPr>
              <w:t xml:space="preserve"> (opnieuw)</w:t>
            </w:r>
            <w:r w:rsidRPr="005B2684">
              <w:rPr>
                <w:b/>
                <w:bCs/>
              </w:rPr>
              <w:t xml:space="preserve"> in.</w:t>
            </w:r>
          </w:p>
        </w:tc>
      </w:tr>
    </w:tbl>
    <w:p w14:paraId="1B8A446F" w14:textId="77777777" w:rsidR="00EA670F" w:rsidRPr="00EA670F" w:rsidRDefault="00EA670F" w:rsidP="00EA670F">
      <w:pPr>
        <w:keepNext/>
        <w:keepLines/>
        <w:spacing w:before="200" w:after="60"/>
        <w:outlineLvl w:val="3"/>
        <w:rPr>
          <w:rFonts w:eastAsiaTheme="majorEastAsia" w:cstheme="majorBidi"/>
          <w:color w:val="C00000"/>
          <w:sz w:val="22"/>
        </w:rPr>
      </w:pPr>
    </w:p>
    <w:sectPr w:rsidR="00EA670F" w:rsidRPr="00EA670F" w:rsidSect="002034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46D5A" w14:textId="77777777" w:rsidR="00451002" w:rsidRDefault="00451002" w:rsidP="00451002">
      <w:r>
        <w:separator/>
      </w:r>
    </w:p>
  </w:endnote>
  <w:endnote w:type="continuationSeparator" w:id="0">
    <w:p w14:paraId="51C1EEB6" w14:textId="77777777" w:rsidR="00451002" w:rsidRDefault="00451002" w:rsidP="0045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3C6CD" w14:textId="77777777" w:rsidR="00451002" w:rsidRDefault="00451002" w:rsidP="00451002">
      <w:r>
        <w:separator/>
      </w:r>
    </w:p>
  </w:footnote>
  <w:footnote w:type="continuationSeparator" w:id="0">
    <w:p w14:paraId="6D170C00" w14:textId="77777777" w:rsidR="00451002" w:rsidRDefault="00451002" w:rsidP="00451002">
      <w:r>
        <w:continuationSeparator/>
      </w:r>
    </w:p>
  </w:footnote>
  <w:footnote w:id="1">
    <w:p w14:paraId="2CC5DBE4" w14:textId="5C051214" w:rsidR="0077593C" w:rsidRPr="004D14E0" w:rsidRDefault="0077593C" w:rsidP="0077593C">
      <w:pPr>
        <w:rPr>
          <w:sz w:val="18"/>
          <w:szCs w:val="18"/>
        </w:rPr>
      </w:pPr>
      <w:r w:rsidRPr="004D14E0">
        <w:rPr>
          <w:rStyle w:val="Voetnootmarkering"/>
          <w:sz w:val="18"/>
          <w:szCs w:val="18"/>
        </w:rPr>
        <w:footnoteRef/>
      </w:r>
      <w:r w:rsidRPr="004D14E0">
        <w:rPr>
          <w:sz w:val="18"/>
          <w:szCs w:val="18"/>
        </w:rPr>
        <w:t xml:space="preserve"> Energietransitie/groene chemie; Smart Industry; Agrifood &amp; </w:t>
      </w:r>
      <w:r w:rsidR="00650E34">
        <w:rPr>
          <w:sz w:val="18"/>
          <w:szCs w:val="18"/>
        </w:rPr>
        <w:t>H</w:t>
      </w:r>
      <w:r w:rsidRPr="004D14E0">
        <w:rPr>
          <w:sz w:val="18"/>
          <w:szCs w:val="18"/>
        </w:rPr>
        <w:t>ealt</w:t>
      </w:r>
      <w:r w:rsidR="00650E34">
        <w:rPr>
          <w:sz w:val="18"/>
          <w:szCs w:val="18"/>
        </w:rPr>
        <w:t>h</w:t>
      </w:r>
      <w:r w:rsidR="00EF75B7">
        <w:rPr>
          <w:sz w:val="18"/>
          <w:szCs w:val="18"/>
        </w:rPr>
        <w:t>, Watertechnologie.</w:t>
      </w:r>
    </w:p>
  </w:footnote>
  <w:footnote w:id="2">
    <w:p w14:paraId="6D53EE8B" w14:textId="4BE824EB" w:rsidR="003869C2" w:rsidRDefault="003869C2" w:rsidP="003869C2">
      <w:pPr>
        <w:pStyle w:val="Voetnoottekst"/>
        <w:rPr>
          <w:sz w:val="18"/>
          <w:szCs w:val="18"/>
        </w:rPr>
      </w:pPr>
      <w:r>
        <w:rPr>
          <w:rStyle w:val="Voetnootmarkering"/>
        </w:rPr>
        <w:footnoteRef/>
      </w:r>
      <w:r>
        <w:t xml:space="preserve"> Arbeidsmigratie in Noord-</w:t>
      </w:r>
      <w:r w:rsidR="002307E7">
        <w:t>Nederland</w:t>
      </w:r>
      <w:r>
        <w:t xml:space="preserve">, nodig voor realiseren brede welvaart en energietransitie! </w:t>
      </w:r>
      <w:r w:rsidR="002307E7">
        <w:t>SER Noord-Nederland, juni 2022 (</w:t>
      </w:r>
      <w:hyperlink r:id="rId1" w:history="1">
        <w:r w:rsidR="002307E7" w:rsidRPr="00922D3C">
          <w:rPr>
            <w:rStyle w:val="Hyperlink"/>
            <w:sz w:val="18"/>
            <w:szCs w:val="18"/>
          </w:rPr>
          <w:t>https://sernoordnederland.nl/adviezen/123-internationale-arbeid</w:t>
        </w:r>
      </w:hyperlink>
      <w:r w:rsidR="002307E7">
        <w:rPr>
          <w:sz w:val="18"/>
          <w:szCs w:val="18"/>
        </w:rPr>
        <w:t>).</w:t>
      </w:r>
    </w:p>
    <w:p w14:paraId="6800C494" w14:textId="47F3484D" w:rsidR="003869C2" w:rsidRDefault="003869C2">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53BCF"/>
    <w:multiLevelType w:val="multilevel"/>
    <w:tmpl w:val="574C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68068F"/>
    <w:multiLevelType w:val="hybridMultilevel"/>
    <w:tmpl w:val="33129B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002"/>
    <w:rsid w:val="00100183"/>
    <w:rsid w:val="0011465A"/>
    <w:rsid w:val="00164804"/>
    <w:rsid w:val="001D19BC"/>
    <w:rsid w:val="002034FE"/>
    <w:rsid w:val="00221EEC"/>
    <w:rsid w:val="002222F1"/>
    <w:rsid w:val="002307E7"/>
    <w:rsid w:val="002835EA"/>
    <w:rsid w:val="00297E9D"/>
    <w:rsid w:val="003869C2"/>
    <w:rsid w:val="00451002"/>
    <w:rsid w:val="00453359"/>
    <w:rsid w:val="00482525"/>
    <w:rsid w:val="0055292E"/>
    <w:rsid w:val="00556B9F"/>
    <w:rsid w:val="005C2E3A"/>
    <w:rsid w:val="00650E34"/>
    <w:rsid w:val="00696AB9"/>
    <w:rsid w:val="00770E33"/>
    <w:rsid w:val="0077593C"/>
    <w:rsid w:val="007D42E7"/>
    <w:rsid w:val="007E4F8E"/>
    <w:rsid w:val="00A04E7E"/>
    <w:rsid w:val="00A37AD2"/>
    <w:rsid w:val="00A65133"/>
    <w:rsid w:val="00BC349C"/>
    <w:rsid w:val="00BE0CA7"/>
    <w:rsid w:val="00CA2629"/>
    <w:rsid w:val="00EA670F"/>
    <w:rsid w:val="00EF75B7"/>
    <w:rsid w:val="00FB73C0"/>
  </w:rsids>
  <m:mathPr>
    <m:mathFont m:val="Cambria Math"/>
    <m:brkBin m:val="before"/>
    <m:brkBinSub m:val="--"/>
    <m:smallFrac m:val="0"/>
    <m:dispDef/>
    <m:lMargin m:val="0"/>
    <m:rMargin m:val="0"/>
    <m:defJc m:val="centerGroup"/>
    <m:wrapIndent m:val="1440"/>
    <m:intLim m:val="subSup"/>
    <m:naryLim m:val="undOvr"/>
  </m:mathPr>
  <w:themeFontLang w:val="nl-NL"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651DA"/>
  <w15:chartTrackingRefBased/>
  <w15:docId w15:val="{28F36F78-ECB6-4281-8A40-21A8D1FA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6B9F"/>
    <w:pPr>
      <w:spacing w:after="0" w:line="240" w:lineRule="auto"/>
    </w:pPr>
    <w:rPr>
      <w:rFonts w:ascii="Arial" w:hAnsi="Arial"/>
      <w:sz w:val="20"/>
    </w:rPr>
  </w:style>
  <w:style w:type="paragraph" w:styleId="Kop1">
    <w:name w:val="heading 1"/>
    <w:basedOn w:val="Standaard"/>
    <w:next w:val="Standaard"/>
    <w:link w:val="Kop1Char"/>
    <w:autoRedefine/>
    <w:uiPriority w:val="9"/>
    <w:qFormat/>
    <w:rsid w:val="00556B9F"/>
    <w:pPr>
      <w:keepNext/>
      <w:keepLines/>
      <w:spacing w:before="240" w:after="60"/>
      <w:outlineLvl w:val="0"/>
    </w:pPr>
    <w:rPr>
      <w:rFonts w:eastAsiaTheme="majorEastAsia" w:cstheme="majorBidi"/>
      <w:b/>
      <w:sz w:val="28"/>
      <w:szCs w:val="32"/>
    </w:rPr>
  </w:style>
  <w:style w:type="paragraph" w:styleId="Kop2">
    <w:name w:val="heading 2"/>
    <w:basedOn w:val="Standaard"/>
    <w:next w:val="Standaard"/>
    <w:link w:val="Kop2Char"/>
    <w:autoRedefine/>
    <w:uiPriority w:val="9"/>
    <w:unhideWhenUsed/>
    <w:qFormat/>
    <w:rsid w:val="00556B9F"/>
    <w:pPr>
      <w:keepNext/>
      <w:keepLines/>
      <w:spacing w:before="200" w:after="60"/>
      <w:outlineLvl w:val="1"/>
    </w:pPr>
    <w:rPr>
      <w:rFonts w:eastAsiaTheme="majorEastAsia" w:cstheme="majorBidi"/>
      <w:b/>
      <w:sz w:val="24"/>
      <w:szCs w:val="26"/>
    </w:rPr>
  </w:style>
  <w:style w:type="paragraph" w:styleId="Kop3">
    <w:name w:val="heading 3"/>
    <w:basedOn w:val="Standaard"/>
    <w:next w:val="Standaard"/>
    <w:link w:val="Kop3Char"/>
    <w:autoRedefine/>
    <w:uiPriority w:val="9"/>
    <w:unhideWhenUsed/>
    <w:qFormat/>
    <w:rsid w:val="00556B9F"/>
    <w:pPr>
      <w:keepNext/>
      <w:keepLines/>
      <w:spacing w:before="200" w:after="60"/>
      <w:outlineLvl w:val="2"/>
    </w:pPr>
    <w:rPr>
      <w:rFonts w:eastAsiaTheme="majorEastAsia" w:cstheme="majorBidi"/>
      <w:sz w:val="24"/>
      <w:szCs w:val="24"/>
    </w:rPr>
  </w:style>
  <w:style w:type="paragraph" w:styleId="Kop4">
    <w:name w:val="heading 4"/>
    <w:basedOn w:val="Standaard"/>
    <w:next w:val="Standaard"/>
    <w:link w:val="Kop4Char"/>
    <w:autoRedefine/>
    <w:uiPriority w:val="9"/>
    <w:unhideWhenUsed/>
    <w:qFormat/>
    <w:rsid w:val="00770E33"/>
    <w:pPr>
      <w:keepNext/>
      <w:keepLines/>
      <w:spacing w:before="200" w:after="60"/>
      <w:outlineLvl w:val="3"/>
    </w:pPr>
    <w:rPr>
      <w:rFonts w:eastAsiaTheme="majorEastAsia" w:cstheme="majorBidi"/>
      <w:i/>
      <w:iCs/>
      <w:sz w:val="22"/>
    </w:rPr>
  </w:style>
  <w:style w:type="paragraph" w:styleId="Kop5">
    <w:name w:val="heading 5"/>
    <w:basedOn w:val="Standaard"/>
    <w:next w:val="Standaard"/>
    <w:link w:val="Kop5Char"/>
    <w:autoRedefine/>
    <w:uiPriority w:val="9"/>
    <w:unhideWhenUsed/>
    <w:qFormat/>
    <w:rsid w:val="001D19BC"/>
    <w:pPr>
      <w:keepNext/>
      <w:keepLines/>
      <w:spacing w:before="200" w:after="60"/>
      <w:outlineLvl w:val="4"/>
    </w:pPr>
    <w:rPr>
      <w:rFonts w:eastAsiaTheme="majorEastAsia" w:cstheme="majorBidi"/>
      <w:sz w:val="22"/>
    </w:rPr>
  </w:style>
  <w:style w:type="paragraph" w:styleId="Kop6">
    <w:name w:val="heading 6"/>
    <w:basedOn w:val="Standaard"/>
    <w:next w:val="Standaard"/>
    <w:link w:val="Kop6Char"/>
    <w:autoRedefine/>
    <w:uiPriority w:val="9"/>
    <w:unhideWhenUsed/>
    <w:qFormat/>
    <w:rsid w:val="001D19BC"/>
    <w:pPr>
      <w:keepNext/>
      <w:keepLines/>
      <w:spacing w:before="200" w:after="60"/>
      <w:outlineLvl w:val="5"/>
    </w:pPr>
    <w:rPr>
      <w:rFonts w:eastAsiaTheme="majorEastAsia" w:cstheme="majorBidi"/>
      <w:sz w:val="22"/>
    </w:rPr>
  </w:style>
  <w:style w:type="paragraph" w:styleId="Kop7">
    <w:name w:val="heading 7"/>
    <w:basedOn w:val="Standaard"/>
    <w:next w:val="Standaard"/>
    <w:link w:val="Kop7Char"/>
    <w:autoRedefine/>
    <w:uiPriority w:val="9"/>
    <w:unhideWhenUsed/>
    <w:qFormat/>
    <w:rsid w:val="001D19BC"/>
    <w:pPr>
      <w:keepNext/>
      <w:keepLines/>
      <w:spacing w:before="200" w:after="60"/>
      <w:outlineLvl w:val="6"/>
    </w:pPr>
    <w:rPr>
      <w:rFonts w:eastAsiaTheme="majorEastAsia" w:cstheme="majorBidi"/>
      <w:i/>
      <w:iCs/>
      <w:sz w:val="22"/>
    </w:rPr>
  </w:style>
  <w:style w:type="paragraph" w:styleId="Kop8">
    <w:name w:val="heading 8"/>
    <w:basedOn w:val="Standaard"/>
    <w:next w:val="Standaard"/>
    <w:link w:val="Kop8Char"/>
    <w:autoRedefine/>
    <w:uiPriority w:val="9"/>
    <w:unhideWhenUsed/>
    <w:qFormat/>
    <w:rsid w:val="001D19BC"/>
    <w:pPr>
      <w:keepNext/>
      <w:keepLines/>
      <w:spacing w:before="200" w:after="60"/>
      <w:outlineLvl w:val="7"/>
    </w:pPr>
    <w:rPr>
      <w:rFonts w:eastAsiaTheme="majorEastAsia" w:cstheme="majorBidi"/>
      <w:color w:val="272727" w:themeColor="text1" w:themeTint="D8"/>
      <w:sz w:val="22"/>
      <w:szCs w:val="21"/>
    </w:rPr>
  </w:style>
  <w:style w:type="paragraph" w:styleId="Kop9">
    <w:name w:val="heading 9"/>
    <w:basedOn w:val="Standaard"/>
    <w:next w:val="Standaard"/>
    <w:link w:val="Kop9Char"/>
    <w:uiPriority w:val="9"/>
    <w:unhideWhenUsed/>
    <w:qFormat/>
    <w:rsid w:val="001D19BC"/>
    <w:pPr>
      <w:keepNext/>
      <w:keepLines/>
      <w:spacing w:before="200" w:after="60"/>
      <w:outlineLvl w:val="8"/>
    </w:pPr>
    <w:rPr>
      <w:rFonts w:eastAsiaTheme="majorEastAsia" w:cstheme="majorBidi"/>
      <w:i/>
      <w:iCs/>
      <w:color w:val="272727" w:themeColor="text1" w:themeTint="D8"/>
      <w:sz w:val="22"/>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E0CA7"/>
    <w:rPr>
      <w:rFonts w:ascii="Arial" w:hAnsi="Arial"/>
      <w:sz w:val="20"/>
    </w:rPr>
  </w:style>
  <w:style w:type="character" w:customStyle="1" w:styleId="Kop1Char">
    <w:name w:val="Kop 1 Char"/>
    <w:basedOn w:val="Standaardalinea-lettertype"/>
    <w:link w:val="Kop1"/>
    <w:uiPriority w:val="9"/>
    <w:rsid w:val="00556B9F"/>
    <w:rPr>
      <w:rFonts w:ascii="Arial" w:eastAsiaTheme="majorEastAsia" w:hAnsi="Arial" w:cstheme="majorBidi"/>
      <w:b/>
      <w:sz w:val="28"/>
      <w:szCs w:val="32"/>
    </w:rPr>
  </w:style>
  <w:style w:type="character" w:customStyle="1" w:styleId="Kop2Char">
    <w:name w:val="Kop 2 Char"/>
    <w:basedOn w:val="Standaardalinea-lettertype"/>
    <w:link w:val="Kop2"/>
    <w:uiPriority w:val="9"/>
    <w:rsid w:val="00556B9F"/>
    <w:rPr>
      <w:rFonts w:ascii="Arial" w:eastAsiaTheme="majorEastAsia" w:hAnsi="Arial" w:cstheme="majorBidi"/>
      <w:b/>
      <w:sz w:val="24"/>
      <w:szCs w:val="26"/>
    </w:rPr>
  </w:style>
  <w:style w:type="character" w:customStyle="1" w:styleId="Kop3Char">
    <w:name w:val="Kop 3 Char"/>
    <w:basedOn w:val="Standaardalinea-lettertype"/>
    <w:link w:val="Kop3"/>
    <w:uiPriority w:val="9"/>
    <w:rsid w:val="00556B9F"/>
    <w:rPr>
      <w:rFonts w:ascii="Arial" w:eastAsiaTheme="majorEastAsia" w:hAnsi="Arial" w:cstheme="majorBidi"/>
      <w:sz w:val="24"/>
      <w:szCs w:val="24"/>
    </w:rPr>
  </w:style>
  <w:style w:type="character" w:customStyle="1" w:styleId="Kop4Char">
    <w:name w:val="Kop 4 Char"/>
    <w:basedOn w:val="Standaardalinea-lettertype"/>
    <w:link w:val="Kop4"/>
    <w:uiPriority w:val="9"/>
    <w:rsid w:val="00770E33"/>
    <w:rPr>
      <w:rFonts w:ascii="Arial" w:eastAsiaTheme="majorEastAsia" w:hAnsi="Arial" w:cstheme="majorBidi"/>
      <w:i/>
      <w:iCs/>
    </w:rPr>
  </w:style>
  <w:style w:type="character" w:customStyle="1" w:styleId="Kop5Char">
    <w:name w:val="Kop 5 Char"/>
    <w:basedOn w:val="Standaardalinea-lettertype"/>
    <w:link w:val="Kop5"/>
    <w:uiPriority w:val="9"/>
    <w:rsid w:val="001D19BC"/>
    <w:rPr>
      <w:rFonts w:ascii="Arial" w:eastAsiaTheme="majorEastAsia" w:hAnsi="Arial" w:cstheme="majorBidi"/>
    </w:rPr>
  </w:style>
  <w:style w:type="character" w:customStyle="1" w:styleId="Kop6Char">
    <w:name w:val="Kop 6 Char"/>
    <w:basedOn w:val="Standaardalinea-lettertype"/>
    <w:link w:val="Kop6"/>
    <w:uiPriority w:val="9"/>
    <w:rsid w:val="001D19BC"/>
    <w:rPr>
      <w:rFonts w:ascii="Arial" w:eastAsiaTheme="majorEastAsia" w:hAnsi="Arial" w:cstheme="majorBidi"/>
    </w:rPr>
  </w:style>
  <w:style w:type="character" w:customStyle="1" w:styleId="Kop7Char">
    <w:name w:val="Kop 7 Char"/>
    <w:basedOn w:val="Standaardalinea-lettertype"/>
    <w:link w:val="Kop7"/>
    <w:uiPriority w:val="9"/>
    <w:rsid w:val="001D19BC"/>
    <w:rPr>
      <w:rFonts w:ascii="Arial" w:eastAsiaTheme="majorEastAsia" w:hAnsi="Arial" w:cstheme="majorBidi"/>
      <w:i/>
      <w:iCs/>
    </w:rPr>
  </w:style>
  <w:style w:type="character" w:customStyle="1" w:styleId="Kop8Char">
    <w:name w:val="Kop 8 Char"/>
    <w:basedOn w:val="Standaardalinea-lettertype"/>
    <w:link w:val="Kop8"/>
    <w:uiPriority w:val="9"/>
    <w:rsid w:val="001D19BC"/>
    <w:rPr>
      <w:rFonts w:ascii="Arial" w:eastAsiaTheme="majorEastAsia" w:hAnsi="Arial" w:cstheme="majorBidi"/>
      <w:color w:val="272727" w:themeColor="text1" w:themeTint="D8"/>
      <w:szCs w:val="21"/>
    </w:rPr>
  </w:style>
  <w:style w:type="character" w:customStyle="1" w:styleId="Kop9Char">
    <w:name w:val="Kop 9 Char"/>
    <w:basedOn w:val="Standaardalinea-lettertype"/>
    <w:link w:val="Kop9"/>
    <w:uiPriority w:val="9"/>
    <w:rsid w:val="001D19BC"/>
    <w:rPr>
      <w:rFonts w:ascii="Arial" w:eastAsiaTheme="majorEastAsia" w:hAnsi="Arial" w:cstheme="majorBidi"/>
      <w:i/>
      <w:iCs/>
      <w:color w:val="272727" w:themeColor="text1" w:themeTint="D8"/>
      <w:szCs w:val="21"/>
    </w:rPr>
  </w:style>
  <w:style w:type="paragraph" w:styleId="Titel">
    <w:name w:val="Title"/>
    <w:basedOn w:val="Standaard"/>
    <w:next w:val="Standaard"/>
    <w:link w:val="TitelChar"/>
    <w:autoRedefine/>
    <w:uiPriority w:val="10"/>
    <w:qFormat/>
    <w:rsid w:val="00556B9F"/>
    <w:pPr>
      <w:spacing w:before="200" w:after="6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56B9F"/>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451002"/>
    <w:pPr>
      <w:ind w:left="720"/>
      <w:contextualSpacing/>
    </w:pPr>
  </w:style>
  <w:style w:type="paragraph" w:styleId="Voetnoottekst">
    <w:name w:val="footnote text"/>
    <w:basedOn w:val="Standaard"/>
    <w:link w:val="VoetnoottekstChar"/>
    <w:uiPriority w:val="99"/>
    <w:semiHidden/>
    <w:unhideWhenUsed/>
    <w:rsid w:val="00451002"/>
    <w:rPr>
      <w:szCs w:val="20"/>
    </w:rPr>
  </w:style>
  <w:style w:type="character" w:customStyle="1" w:styleId="VoetnoottekstChar">
    <w:name w:val="Voetnoottekst Char"/>
    <w:basedOn w:val="Standaardalinea-lettertype"/>
    <w:link w:val="Voetnoottekst"/>
    <w:uiPriority w:val="99"/>
    <w:semiHidden/>
    <w:rsid w:val="00451002"/>
    <w:rPr>
      <w:rFonts w:ascii="Arial" w:hAnsi="Arial"/>
      <w:sz w:val="20"/>
      <w:szCs w:val="20"/>
    </w:rPr>
  </w:style>
  <w:style w:type="character" w:styleId="Voetnootmarkering">
    <w:name w:val="footnote reference"/>
    <w:basedOn w:val="Standaardalinea-lettertype"/>
    <w:uiPriority w:val="99"/>
    <w:semiHidden/>
    <w:unhideWhenUsed/>
    <w:rsid w:val="00451002"/>
    <w:rPr>
      <w:vertAlign w:val="superscript"/>
    </w:rPr>
  </w:style>
  <w:style w:type="table" w:styleId="Tabelraster">
    <w:name w:val="Table Grid"/>
    <w:basedOn w:val="Standaardtabel"/>
    <w:uiPriority w:val="39"/>
    <w:rsid w:val="00EA6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869C2"/>
    <w:rPr>
      <w:color w:val="7F7F7F" w:themeColor="hyperlink"/>
      <w:u w:val="single"/>
    </w:rPr>
  </w:style>
  <w:style w:type="character" w:styleId="Onopgelostemelding">
    <w:name w:val="Unresolved Mention"/>
    <w:basedOn w:val="Standaardalinea-lettertype"/>
    <w:uiPriority w:val="99"/>
    <w:semiHidden/>
    <w:unhideWhenUsed/>
    <w:rsid w:val="00230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rnoordnederland.nl/adviezen/123-internationale-arbeid" TargetMode="External"/></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000000"/>
      </a:dk2>
      <a:lt2>
        <a:srgbClr val="FFFFFF"/>
      </a:lt2>
      <a:accent1>
        <a:srgbClr val="F2F2F2"/>
      </a:accent1>
      <a:accent2>
        <a:srgbClr val="D8D8D8"/>
      </a:accent2>
      <a:accent3>
        <a:srgbClr val="A5A5A5"/>
      </a:accent3>
      <a:accent4>
        <a:srgbClr val="BFBFBF"/>
      </a:accent4>
      <a:accent5>
        <a:srgbClr val="A5A5A5"/>
      </a:accent5>
      <a:accent6>
        <a:srgbClr val="7F7F7F"/>
      </a:accent6>
      <a:hlink>
        <a:srgbClr val="7F7F7F"/>
      </a:hlink>
      <a:folHlink>
        <a:srgbClr val="7F7F7F"/>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44903-EC25-4CA4-BCCB-825E678FA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1109</Words>
  <Characters>6100</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Bloupot, Herman</dc:creator>
  <cp:keywords/>
  <dc:description/>
  <cp:lastModifiedBy>Latupeirissa-Kaauw, Marieke</cp:lastModifiedBy>
  <cp:revision>2</cp:revision>
  <dcterms:created xsi:type="dcterms:W3CDTF">2023-06-27T09:57:00Z</dcterms:created>
  <dcterms:modified xsi:type="dcterms:W3CDTF">2023-06-27T09:57:00Z</dcterms:modified>
</cp:coreProperties>
</file>